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2021年防范非法集资宣传月活动情况统计表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填报单位：</w:t>
      </w:r>
    </w:p>
    <w:tbl>
      <w:tblPr>
        <w:tblStyle w:val="5"/>
        <w:tblW w:w="148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88"/>
        <w:gridCol w:w="1185"/>
        <w:gridCol w:w="1425"/>
        <w:gridCol w:w="1425"/>
        <w:gridCol w:w="1425"/>
        <w:gridCol w:w="1425"/>
        <w:gridCol w:w="2910"/>
        <w:gridCol w:w="139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“七进”等宣传活动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报刊杂志、广播电视等</w:t>
            </w:r>
          </w:p>
        </w:tc>
        <w:tc>
          <w:tcPr>
            <w:tcW w:w="5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网络宣传（网站、微信、微博、抖音、快手、短信等）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户外广告、宣传品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活动场次（次）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参与群众人数（人次）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刊印份数、播放次数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发布原创作品数（篇）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点击量、阅读量、曝光量、转发量（次）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互动宣传覆盖人数（人次）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发送短信（条）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海报、展板（份）；电子显示屏、公共交通广告、楼宇电梯广告等（次）；传单、手册、赠品等（份）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被新闻媒体报道（次）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填表说明：1.“七进”宣传活动是指通过线上线下方式深入机关、工厂、学校、家庭、社区、村屯、网点等开展的讲座、宣讲活动等。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 2.表中项目未开展的填写“0”，表中未列举的创新宣传方式可在“其他”一栏中进行列举。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vz85nEAQAAjwMAAA4AAABkcnMvZTJvRG9jLnhtbK1TzY7TMBC+I/EO&#10;lu80aaVF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vz85n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21151"/>
    <w:rsid w:val="6A876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1"/>
    <w:qFormat/>
    <w:uiPriority w:val="0"/>
    <w:rPr>
      <w:rFonts w:ascii="Arial Unicode MS" w:hAnsi="Helvetica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10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val="none"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2021-06-08T09:18:00Z</dcterms:created>
  <dc:creator>super</dc:creator>
  <cp:lastModifiedBy>Administrator</cp:lastModifiedBy>
  <cp:lastPrinted>2021-06-10T06:11:00Z</cp:lastPrinted>
  <dcterms:modified xsi:type="dcterms:W3CDTF">2021-06-15T02:15:51Z</dcterms:modified>
  <dc:title>山西省司法厅关于认真组织开展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564E75A81ACB42D49235273580D37B5B</vt:lpwstr>
  </property>
</Properties>
</file>